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5.0 -->
  <w:body>
    <w:p>
      <w:pPr>
        <w:keepNext w:val="0"/>
        <w:keepLines w:val="0"/>
        <w:widowControl/>
        <w:suppressLineNumbers w:val="0"/>
        <w:spacing w:before="0" w:beforeAutospacing="1" w:after="452" w:afterAutospacing="0" w:line="17" w:lineRule="atLeast"/>
        <w:ind w:left="-225" w:right="-225"/>
        <w:jc w:val="left"/>
        <w:outlineLvl w:val="1"/>
        <w:rPr>
          <w:rFonts w:ascii="宋体" w:eastAsia="宋体" w:hAnsi="宋体" w:cs="宋体"/>
          <w:b/>
          <w:bCs/>
          <w:color w:val="000000"/>
          <w:sz w:val="27"/>
          <w:szCs w:val="27"/>
          <w:lang w:val="en-US" w:eastAsia="zh-CN" w:bidi="ar"/>
        </w:rPr>
      </w:pPr>
      <w:r>
        <w:rPr>
          <w:rFonts w:eastAsia="宋体" w:cs="宋体"/>
          <w:b/>
          <w:bCs/>
          <w:color w:val="000000"/>
          <w:sz w:val="27"/>
          <w:szCs w:val="27"/>
          <w:shd w:val="clear" w:color="auto" w:fill="F7FBFF"/>
          <w:lang w:val="en-US" w:eastAsia="zh-CN" w:bidi="ar"/>
        </w:rPr>
        <w:t>(S)-(-)-indolin-2-carboxylic acid name</w:t>
      </w:r>
    </w:p>
    <w:tbl>
      <w:tblPr>
        <w:tblStyle w:val="TableNormal"/>
        <w:tblW w:w="10560" w:type="dxa"/>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
      <w:tblGrid>
        <w:gridCol w:w="1204"/>
        <w:gridCol w:w="9356"/>
      </w:tblGrid>
      <w:tr>
        <w:tblPrEx>
          <w:tblW w:w="10560" w:type="dxa"/>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Chinese name</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S-(-)-indolin-2-carboxylic acid</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English name</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(S)-Indoline-2-carboxylic Acid</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auto"/>
              <w:rPr>
                <w:rFonts w:ascii="Calibri" w:eastAsia="宋体" w:hAnsi="Calibri"/>
                <w:b/>
                <w:bCs/>
                <w:color w:val="666666"/>
                <w:kern w:val="2"/>
                <w:sz w:val="21"/>
                <w:lang w:val="en-US" w:eastAsia="zh-CN" w:bidi="ar-SA"/>
              </w:rPr>
            </w:pPr>
            <w:r>
              <w:rPr>
                <w:rFonts w:eastAsia="宋体" w:cs="宋体"/>
                <w:b/>
                <w:bCs/>
                <w:color w:val="666666"/>
                <w:lang w:val="en-US" w:eastAsia="zh-CN" w:bidi="ar"/>
              </w:rPr>
              <w:t>Chinese alias</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(2S)-2, 3-dihydro-1H-indolin-2-carboxylic acid (S)-indolin-2-carboxylic acid (S)-indolin-2-carboxylic acid (S)-(-)-dihydroindolin-2-carboxylic acid (S)-(-)-indolin-2-carboxylic acid (S)-(-)-indolin-2-carboxylic acid (S)-(-)-indolin-2-carboxylic acid</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auto"/>
              <w:rPr>
                <w:rFonts w:ascii="Calibri" w:eastAsia="宋体" w:hAnsi="Calibri"/>
                <w:b/>
                <w:bCs/>
                <w:color w:val="666666"/>
                <w:kern w:val="2"/>
                <w:sz w:val="21"/>
                <w:lang w:val="en-US" w:eastAsia="zh-CN" w:bidi="ar-SA"/>
              </w:rPr>
            </w:pPr>
            <w:r>
              <w:rPr>
                <w:rFonts w:eastAsia="宋体" w:cs="宋体"/>
                <w:b/>
                <w:bCs/>
                <w:color w:val="666666"/>
                <w:lang w:val="en-US" w:eastAsia="zh-CN" w:bidi="ar"/>
              </w:rPr>
              <w:t>English alias</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hyperlink r:id="rId4" w:anchor="ebiemingDiv" w:history="1">
              <w:r>
                <w:rPr>
                  <w:rFonts w:eastAsia="宋体" w:cs="宋体"/>
                  <w:color w:val="337AB7"/>
                  <w:kern w:val="2"/>
                  <w:lang w:val="en-US" w:eastAsia="zh-CN" w:bidi="ar-SA"/>
                </w:rPr>
                <w:t>More</w:t>
              </w:r>
            </w:hyperlink>
          </w:p>
        </w:tc>
      </w:tr>
    </w:tbl>
    <w:p>
      <w:pPr>
        <w:keepNext w:val="0"/>
        <w:keepLines w:val="0"/>
        <w:widowControl/>
        <w:suppressLineNumbers w:val="0"/>
        <w:spacing w:before="0" w:beforeAutospacing="1" w:after="452" w:afterAutospacing="0" w:line="17" w:lineRule="atLeast"/>
        <w:ind w:left="-225" w:right="-225"/>
        <w:jc w:val="left"/>
        <w:outlineLvl w:val="1"/>
        <w:rPr>
          <w:rFonts w:ascii="宋体" w:eastAsia="宋体" w:hAnsi="宋体" w:cs="宋体"/>
          <w:b/>
          <w:bCs/>
          <w:color w:val="000000"/>
          <w:sz w:val="27"/>
          <w:szCs w:val="27"/>
          <w:lang w:val="en-US" w:eastAsia="zh-CN" w:bidi="ar"/>
        </w:rPr>
      </w:pPr>
      <w:r>
        <w:rPr>
          <w:rFonts w:eastAsia="宋体" w:cs="Glyphicons Halflings"/>
          <w:b/>
          <w:bCs/>
          <w:color w:val="0CC0F3"/>
          <w:sz w:val="27"/>
          <w:szCs w:val="27"/>
          <w:shd w:val="clear" w:color="auto" w:fill="F7FBFF"/>
          <w:lang w:val="en-US" w:eastAsia="zh-CN" w:bidi="ar"/>
        </w:rPr>
        <w:t>Physicochemical properties of (S)-(-)-indolin-2-carboxylic acid</w:t>
      </w:r>
    </w:p>
    <w:tbl>
      <w:tblPr>
        <w:tblStyle w:val="TableNormal"/>
        <w:tblW w:w="10560" w:type="dxa"/>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
      <w:tblGrid>
        <w:gridCol w:w="1393"/>
        <w:gridCol w:w="9167"/>
      </w:tblGrid>
      <w:tr>
        <w:tblPrEx>
          <w:tblW w:w="10560" w:type="dxa"/>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Density</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1.3 ± 0.1 g/cm3</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Boiling point</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380.0 ± 31.0 ° C at 760 mmHg</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Melting point</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177 ° C (dec.)</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Molecular formula</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C9H9NO2</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Molecular weight</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163.173</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Flash point</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183.6 ± 24.8 ° C</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Accurate mass</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163.063324</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PSA</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49.33000</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LogP</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0.74</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Appearance character</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White to light yellow crystal powder</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Vapor pressure</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0.0 ± 0.9 mmHg at 25 ° C</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ascii="Calibri" w:eastAsia="宋体" w:hAnsi="Calibri"/>
                <w:b/>
                <w:bCs/>
                <w:color w:val="666666"/>
                <w:kern w:val="2"/>
                <w:sz w:val="21"/>
                <w:lang w:val="en-US" w:eastAsia="zh-CN" w:bidi="ar-SA"/>
              </w:rPr>
            </w:pPr>
            <w:r>
              <w:rPr>
                <w:rFonts w:eastAsia="宋体" w:cs="宋体"/>
                <w:b/>
                <w:bCs/>
                <w:color w:val="666666"/>
                <w:lang w:val="en-US" w:eastAsia="zh-CN" w:bidi="ar"/>
              </w:rPr>
              <w:t>Refractive index</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1.598</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auto"/>
              <w:rPr>
                <w:rFonts w:ascii="Calibri" w:eastAsia="宋体" w:hAnsi="Calibri"/>
                <w:b/>
                <w:bCs/>
                <w:color w:val="666666"/>
                <w:kern w:val="2"/>
                <w:sz w:val="21"/>
                <w:lang w:val="en-US" w:eastAsia="zh-CN" w:bidi="ar-SA"/>
              </w:rPr>
            </w:pPr>
            <w:r>
              <w:rPr>
                <w:rFonts w:eastAsia="宋体" w:cs="宋体"/>
                <w:b/>
                <w:bCs/>
                <w:color w:val="666666"/>
                <w:lang w:val="en-US" w:eastAsia="zh-CN" w:bidi="ar"/>
              </w:rPr>
              <w:t>Storage condition</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Store in a sealed container and in a cool and dry place. Storage must be kept away from oxidants.</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auto"/>
              <w:rPr>
                <w:rFonts w:ascii="Calibri" w:eastAsia="宋体" w:hAnsi="Calibri"/>
                <w:b/>
                <w:bCs/>
                <w:color w:val="666666"/>
                <w:kern w:val="2"/>
                <w:sz w:val="21"/>
                <w:lang w:val="en-US" w:eastAsia="zh-CN" w:bidi="ar-SA"/>
              </w:rPr>
            </w:pPr>
            <w:r>
              <w:rPr>
                <w:rFonts w:eastAsia="宋体" w:cs="宋体"/>
                <w:b/>
                <w:bCs/>
                <w:color w:val="666666"/>
                <w:lang w:val="en-US" w:eastAsia="zh-CN" w:bidi="ar"/>
              </w:rPr>
              <w:t>Stability</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Keep away from oxides.</w:t>
            </w:r>
            <w:bookmarkStart w:id="0" w:name="_GoBack"/>
            <w:bookmarkEnd w:id="0"/>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auto"/>
              <w:rPr>
                <w:rFonts w:ascii="Calibri" w:eastAsia="宋体" w:hAnsi="Calibri"/>
                <w:b/>
                <w:bCs/>
                <w:color w:val="666666"/>
                <w:kern w:val="2"/>
                <w:sz w:val="21"/>
                <w:lang w:val="en-US" w:eastAsia="zh-CN" w:bidi="ar-SA"/>
              </w:rPr>
            </w:pPr>
            <w:r>
              <w:rPr>
                <w:rFonts w:eastAsia="宋体" w:cs="宋体"/>
                <w:b/>
                <w:bCs/>
                <w:color w:val="666666"/>
                <w:lang w:val="en-US" w:eastAsia="zh-CN" w:bidi="ar"/>
              </w:rPr>
              <w:t>Molecular structure</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 Molar refractive index: 43.27</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2. Molar volume (m3/mol): 126.8</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3. Isotonic specific volume (90.2 K): 340.9</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4. Surface tension (dyne/cm): 52.2</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5. Dielectric constant:</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6. Dipole distance (10-24cm 3):</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7. Polarizability: 17.15</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auto"/>
              <w:rPr>
                <w:rFonts w:ascii="Calibri" w:eastAsia="宋体" w:hAnsi="Calibri"/>
                <w:b/>
                <w:bCs/>
                <w:color w:val="666666"/>
                <w:kern w:val="2"/>
                <w:sz w:val="21"/>
                <w:lang w:val="en-US" w:eastAsia="zh-CN" w:bidi="ar-SA"/>
              </w:rPr>
            </w:pPr>
            <w:r>
              <w:rPr>
                <w:rFonts w:eastAsia="宋体" w:cs="宋体"/>
                <w:b/>
                <w:bCs/>
                <w:color w:val="666666"/>
                <w:lang w:val="en-US" w:eastAsia="zh-CN" w:bidi="ar"/>
              </w:rPr>
              <w:t>Computational chemistry</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 Calculation reference value of hydrophobic parameters (XlogP): 1.6</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2. Number of hydrogen bond donors: 2</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3. Number of hydrogen bond receptors: 3</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4. Number of rotatable chemical bonds: 1</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5. Number of tautomers: None</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6. Polar surface area of topological molecules 49.3</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7. Number of heavy atoms: 12</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8. Surface charge: 0</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9. Complexity: 193</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10. Number of isotope atoms: 0</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11. Determine the number of atomic stereocentres: 1</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12. Number of Uncertain Atomic Stereo Centers: 0</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13. Determine the number of chemical bond stereocenters: 0</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14. Number of Stereocenters of Uncertain Chemical Bonds: 0</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15. Number of covalent bond units: 1</w:t>
            </w:r>
          </w:p>
        </w:tc>
      </w:tr>
      <w:tr>
        <w:tblPrEx>
          <w:tblW w:w="10560" w:type="dxa"/>
          <w:tblInd w:w="-225" w:type="dxa"/>
          <w:shd w:val="clear" w:color="auto" w:fill="auto"/>
          <w:tblCellMar>
            <w:top w:w="15" w:type="dxa"/>
            <w:left w:w="15" w:type="dxa"/>
            <w:bottom w:w="15" w:type="dxa"/>
            <w:right w:w="15" w:type="dxa"/>
          </w:tblCellMar>
        </w:tblPrEx>
        <w:tc>
          <w:tcPr>
            <w:tcW w:w="0" w:type="auto"/>
            <w:tcBorders>
              <w:top w:val="single" w:sz="6" w:space="0" w:color="DDDDDD"/>
              <w:left w:val="single" w:sz="6" w:space="0" w:color="E4F2FF"/>
              <w:bottom w:val="single" w:sz="6" w:space="0" w:color="E4F2FF"/>
              <w:right w:val="single" w:sz="6" w:space="0" w:color="E4F2FF"/>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auto"/>
              <w:rPr>
                <w:rFonts w:ascii="Calibri" w:eastAsia="宋体" w:hAnsi="Calibri"/>
                <w:b/>
                <w:bCs/>
                <w:color w:val="666666"/>
                <w:kern w:val="2"/>
                <w:sz w:val="21"/>
                <w:lang w:val="en-US" w:eastAsia="zh-CN" w:bidi="ar-SA"/>
              </w:rPr>
            </w:pPr>
            <w:r>
              <w:rPr>
                <w:rFonts w:eastAsia="宋体" w:cs="宋体"/>
                <w:b/>
                <w:bCs/>
                <w:color w:val="666666"/>
                <w:lang w:val="en-US" w:eastAsia="zh-CN" w:bidi="ar"/>
              </w:rPr>
              <w:t>More</w:t>
            </w:r>
          </w:p>
        </w:tc>
        <w:tc>
          <w:tcPr>
            <w:tcW w:w="0" w:type="auto"/>
            <w:tcBorders>
              <w:top w:val="single" w:sz="6" w:space="0" w:color="DDDDDD"/>
            </w:tcBorders>
            <w:shd w:val="clear" w:color="auto" w:fill="auto"/>
            <w:tcMar>
              <w:top w:w="120" w:type="dxa"/>
              <w:left w:w="120" w:type="dxa"/>
              <w:bottom w:w="120" w:type="dxa"/>
              <w:right w:w="120" w:type="dxa"/>
            </w:tcMar>
            <w:vAlign w:val="top"/>
          </w:tcPr>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 Properties: Powder.</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2. Density (g/mL, 25/4 ℃):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3. Relative vapor density (g/mL, air = 1):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4. Melting point (° C): 177</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5. Boiling point (° C, normal pressure):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6. Boiling point (° C, 5.2 kPa):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7. Refractive index: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8. Flash point (° C):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9. Specific rotation (°):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10. Spontaneous ignition point or ignition temperature (° C):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11. Vapor pressure (kPa, 25 ° C):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12. Saturated vapor pressure (kPa, 60 ° C):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13. Heat of combustion (KJ/mol):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14. Critical temperature (° C):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15. Critical pressure (KPa): not 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16. Logarithmic value of oil-water (octanol/water) partition coefficient: undetermined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17. Explosion ceiling (%, V/V): Not 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18. Lower explosion limit (%, V/V): Not determined</w:t>
            </w:r>
          </w:p>
          <w:p>
            <w:pPr>
              <w:keepNext w:val="0"/>
              <w:keepLines w:val="0"/>
              <w:widowControl/>
              <w:suppressLineNumbers w:val="0"/>
              <w:wordWrap w:val="0"/>
              <w:spacing w:before="0" w:beforeAutospacing="0" w:after="150" w:afterAutospacing="0" w:line="21" w:lineRule="atLeast"/>
              <w:ind w:left="0" w:right="0"/>
              <w:jc w:val="left"/>
              <w:rPr>
                <w:rFonts w:ascii="Calibri" w:eastAsia="宋体" w:hAnsi="Calibri"/>
                <w:lang w:val="en-US" w:eastAsia="zh-CN" w:bidi="ar"/>
              </w:rPr>
            </w:pPr>
            <w:r>
              <w:rPr>
                <w:rFonts w:eastAsia="宋体" w:cstheme="minorBidi"/>
                <w:lang w:val="en-US" w:eastAsia="zh-CN" w:bidi="ar"/>
              </w:rPr>
              <w:t>19. Solubility: Undetermined.</w:t>
            </w:r>
          </w:p>
        </w:tc>
      </w:tr>
    </w:tbl>
    <w:p>
      <w:pPr>
        <w:keepNext w:val="0"/>
        <w:keepLines w:val="0"/>
        <w:widowControl/>
        <w:suppressLineNumbers w:val="0"/>
        <w:spacing w:before="0" w:beforeAutospacing="1" w:after="452" w:afterAutospacing="0" w:line="17" w:lineRule="atLeast"/>
        <w:ind w:left="-225" w:right="-225"/>
        <w:jc w:val="left"/>
        <w:outlineLvl w:val="1"/>
        <w:rPr>
          <w:rFonts w:ascii="宋体" w:eastAsia="宋体" w:hAnsi="宋体" w:cs="宋体"/>
          <w:b/>
          <w:bCs/>
          <w:color w:val="000000"/>
          <w:sz w:val="27"/>
          <w:szCs w:val="27"/>
          <w:lang w:val="en-US" w:eastAsia="zh-CN" w:bidi="ar"/>
        </w:rPr>
      </w:pPr>
      <w:r>
        <w:rPr>
          <w:rFonts w:eastAsia="宋体" w:cs="Glyphicons Halflings"/>
          <w:b/>
          <w:bCs/>
          <w:color w:val="0CC0F3"/>
          <w:sz w:val="27"/>
          <w:szCs w:val="27"/>
          <w:shd w:val="clear" w:color="auto" w:fill="F7FBFF"/>
          <w:lang w:val="en-US" w:eastAsia="zh-CN" w:bidi="ar"/>
        </w:rPr>
        <w:t>(S)-(-)-indolin-2-carboxylic acid MSDS</w:t>
      </w:r>
    </w:p>
    <w:tbl>
      <w:tblPr>
        <w:tblStyle w:val="TableNormal"/>
        <w:tblW w:w="10560" w:type="dxa"/>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
      <w:tblGrid>
        <w:gridCol w:w="10560"/>
      </w:tblGrid>
      <w:tr>
        <w:tblPrEx>
          <w:tblW w:w="10560" w:type="dxa"/>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top"/>
          </w:tcPr>
          <w:p>
            <w:pPr>
              <w:keepNext w:val="0"/>
              <w:keepLines w:val="0"/>
              <w:widowControl/>
              <w:suppressLineNumbers w:val="0"/>
              <w:pBdr>
                <w:top w:val="none" w:sz="0" w:space="0" w:color="auto"/>
                <w:left w:val="none" w:sz="0" w:space="0" w:color="auto"/>
                <w:bottom w:val="none" w:sz="0" w:space="0" w:color="auto"/>
                <w:right w:val="none" w:sz="0" w:space="0" w:color="auto"/>
              </w:pBdr>
              <w:spacing w:line="21" w:lineRule="atLeast"/>
              <w:jc w:val="left"/>
              <w:textAlignment w:val="top"/>
              <w:rPr>
                <w:rFonts w:ascii="Calibri" w:eastAsia="宋体" w:hAnsi="Calibri"/>
                <w:kern w:val="2"/>
                <w:sz w:val="21"/>
                <w:lang w:val="en-US" w:eastAsia="zh-CN" w:bidi="ar-SA"/>
              </w:rPr>
            </w:pPr>
            <w:r>
              <w:rPr>
                <w:rFonts w:eastAsia="宋体" w:cs="宋体"/>
                <w:b/>
                <w:bCs/>
                <w:lang w:val="en-US" w:eastAsia="zh-CN" w:bidi="ar"/>
              </w:rPr>
              <w:t>1.1 Product identifiers: (S)-()-Indoline-2-carboxylic acid Chemical common or trade name 1.2 Other methods of identification No data information 1.3 Related identified uses of substances or mixtures and recommended unsuitable uses</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none" w:sz="0" w:space="0" w:color="auto"/>
                <w:left w:val="none" w:sz="0" w:space="0" w:color="auto"/>
                <w:bottom w:val="none" w:sz="0" w:space="0" w:color="auto"/>
                <w:right w:val="none" w:sz="0" w:space="0" w:color="auto"/>
              </w:pBdr>
              <w:spacing w:line="21" w:lineRule="atLeast"/>
              <w:jc w:val="left"/>
              <w:textAlignment w:val="top"/>
              <w:rPr>
                <w:rFonts w:ascii="Calibri" w:eastAsia="宋体" w:hAnsi="Calibri"/>
                <w:kern w:val="2"/>
                <w:sz w:val="21"/>
                <w:lang w:val="en-US" w:eastAsia="zh-CN" w:bidi="ar-SA"/>
              </w:rPr>
            </w:pPr>
            <w:r>
              <w:rPr>
                <w:rFonts w:eastAsia="宋体" w:cs="宋体"/>
                <w:lang w:val="en-US" w:eastAsia="zh-CN" w:bidi="ar"/>
              </w:rPr>
              <w:t>It is only used for scientific research, not as medicine, family medicine or other purposes.</w:t>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25"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2. Hazard Overview 2.1 GHS Classification Acute Toxicity, Oral (Category 4) Eye Irritation (Category 2A) Skin Sensitization (Category 1) Teratogenicity (Category 2) 2.2 GHS Marker Elements, including Preventive Statement Hazard Type Pictogram Signal Word Warning Hazard Declaration H302 Hazard by Swallowing. H317 may cause skin allergic reactions. H319 causes severe eye irritation. H361 Suspected to cause harm to fertility or fetus. Warning statement prevents P201 from obtaining special instructions before use. P202 Do not operate until all safety precautions are understood. P261 Avoid inhaling dust/smoke/gas/smoke/steam/spray. P264 Clean skin thoroughly after operation. P270 Do not eat, drink or smoke when using this product. P272 Contaminated overalls shall not be taken out of the workplace. P280 Wear protective gloves/eye protectors/face protectors. Measures P301 + P312 If swallowed: If you feel unwell, call a detoxification center or see a doctor. P302 + P352 If on skin: Rinse with plenty of soap and water. P305 + P351 + P338 If entering eyes: Wash carefully with water for several minutes. If you wear contact lenses and can take them out conveniently, take them out. Continue to rinse. P308 + P313 In case of contact or doubt: Seek medical attention/see a doctor. P321 Specific treatment (see the first aid instruction provided on this label). P330 Gargle. P333 + P313 In case of skin irritation or rash: Seek medical attention/see a doctor. P337 + P313 If you still feel eye irritation: Seek medical attention/see a doctor. P363 Contaminated clothes can only be reused after washing. Storage P405 The storage place must be locked. Treatment P501 Disposes the contents/containers to an approved waste treatment plant. 2.3 Other Hazards-None</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26"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3. Composition/Composition Information 3.1 Substance: C9H9NO2 Formula: 163.17 g/mol MW Composition Concentration (S)-2, 3-Dihydro-1H-indole-2-carboxylic acid-Chemical Abstracts No. (CAS No.) 79815-20-6EC-No. 410-860-2 Index No. 607-330-00-X</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27"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4. First Aid Measures 4.1 Description of Necessary First Aid Measures Consult a doctor for general advice. Show this safety technical specification to the doctor at the scene. If inhaled, please move the patient to fresh air. If you stop breathing, give artificial respiration. Consult a doctor. Rinse with soap and plenty of water in case of skin contact. Consult a doctor. Rinse thoroughly with plenty of water for at least 15 minutes in contact with eyes and consult a doctor. Never feed anything from the mouth to the unconscious person if taken by mistake. Rinse your mouth with water. Consult a doctor. 4.2 The most important symptoms and effects, acute and lagging, to our knowledge, the chemical, physical and toxic properties of this have not been fully studied. 4.3 Instructions and instructions for prompt medical treatment and required special treatment without data</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28"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5. Fire Measures 5.1 Fire Extinguishing Medium Fire Extinguishing Method and Fire Extinguishing Agent Water Mist, Alcohol Resistant Foam, Dry Powder or Carbon Dioxide Fire Extinguishing. 5.2 Particular hazards from this substance or mixture Carbon oxides, nitrogen oxides 5.3 Precautions for firefighters If necessary, wear self-contained respirators to fight fires. 5.4 No data available for further information</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29"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6. Leak Emergency Response 6.1 Personnel Prevention, Protective Equipment and Emergency Response Procedures Use Personal Protective Equipment. Prevent the generation of dust. Prevent inhalation of steam, aerosol or gas. Ensure adequate ventilation. Evacuate personnel to a safe area. Avoid inhaling dust. 6.2 Environmental Precautions Take measures to prevent further leakage or spillage while ensuring safety. Don't let the product enter the sewer. 6.3 Methods and Materials for Suppressing and Removing Spills Collect and dispose of spills without generating dust. Sweep and shovel away. Store in a suitable closed treatment container. 6.4 Refer to other sections for discarding processing, see Section 13.</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30"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7. Operation, Disposal and Storage 7.1 Precautions for Safe Operation Avoid contact with skin and eyes. Prevent the generation of dust and aerosol. Where dust is generated, provide suitable exhaust equipment. 7.2 Safe storage conditions, including any incompatible storage in a cool place. Keep the container tightly closed and store it in a dry and ventilated place. 7.3 No data for specific purposes</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31"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8. Exposure Control/Personal Protection 8.1 Control Parameters Maximum Allowable Concentrations without known nationally specified exposure limits. 8.2 Exposure control Appropriate technical controls shall be operated in accordance with industrial hygiene and safe use rules. Wash your hands before rest and at the end of work. Personal protection equipment Eye/face protection mask and safety eye Please use equipment tested and approved by official standards such as NIOSH (USA) or EN 166 (EU) to protect eyes. Skin protection, gloves and gloves must be checked before use. Please use appropriate methods to remove gloves (do not touch the outer surface of gloves), Avoid contact with any part of the skin. After use, handle contaminated gloves carefully in accordance with relevant laws and regulations and effective laboratory regulatory procedures. Wash and blow dry hands. Protective gloves selected must comply with EU 89/686/EEC and EN 376 derived from it. Body protection A complete set of anti-chemical overalls. The type of protective equipment must be selected according to the concentration and content of hazardous substances in a specific workplace. Respiratory protection If the risk assessment indicates the need to use a gas mask for air purification, please use a full-mask multifunctional particulate gas mask N100 (US) or P3 (EN143) gas mask tube as an alternate for engineering control. If a gas mask is the only way to protect, use a full hood air supply gas mask. Respirators use respirators and parts that have been tested and passed government standards such as NIOSH (US) or CEN (EU).</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32"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9. Physical and Chemical Properties 9.1 Information on Basic Physical and Chemical Properties a) Appearance and Character Shape: Solid B) Odor No Data C) Odor Critical Value No Data D) pH Value No Data E) Melting Point/Freezing Point Melting Point/Melting Point Range: 177 ° C-decomposition f) initial boiling point and boiling range without data g) flash point without data h) evaporation rate without data i) flammability (solids, Gas) no data j) high/low flammability or explosive limit no data k) vapor pressure no data l) relative vapor density no data m) relative density no data n) water solubility no data o) logarithmic value of octanol/water partition coefficient: 1.562 p) No data on spontaneous combustion temperature Q) No data on decomposition temperature R) No data on viscosity</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33"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10. Stability and reactivity 10.1 Reactivity undatable10.2 Chemical stability undatable10.3 Possibility of hazardous reactions undatable10.4 Conditions to avoid exposure undatable10.5 Incompatible materials oxidants 10.6 Dangerous decomposition products Other decomposition products-undatable10.6</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34"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11. Toxicological Information 11.1 Information on Toxicological Effects Acute Toxicity No Data Skin Corrosion/Irritation No Data Severe Eye Injury/Eye Irritation No Data Respiratory tract or skin allergies can cause allergic skin reactions. No data on germ cell mutagenesis Carcinogenicity IARC: No one in this product is greater than or equal to 0. 1% of the components were identified as possible or positive human carcinogens by IARC. Reproductive toxicity Suspected human reproductive toxicity Specific target organ systemic toxicity (one exposure) No data Specific target organ systemic toxicity (repeated exposure) No data Inhalation hazard No data Potential health effects Inhalation may be harmful. May cause respiratory irritation. Swallowing by mistake is harmful to human body. Skin can be harmful if absorbed through skin. May cause skin irritation. The eye causes severe eye irritation. Signs and Symptoms After Exposure As far as we know, the chemical, physical and toxic properties have not been fully studied. Registration of toxic effects of annotated chemical substances: no data</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35"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12. Ecological information 12.1 Toxicity without data 12.2 Persistence and degradability without data 12.3 Potential for bioaccumulation without data 12.4 Migration in soils without data 12.5 Evaluation of results of PBT and vPvB without data 12.6 Other adverse effects without data</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36"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13. Waste Disposal 13.1 Waste Treatment Methods Products deliver the remaining and unrecovered solutions to the treatment company. Combustion of contaminated packages in chemical incinerators equipped with post-combustion treatment and scrubbing in combination with flammable solvents is discarded as unused products.</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p>
            <w:pPr>
              <w:keepNext w:val="0"/>
              <w:keepLines w:val="0"/>
              <w:widowControl/>
              <w:suppressLineNumbers w:val="0"/>
              <w:pBdr>
                <w:top w:val="single" w:sz="6" w:space="0" w:color="EEEEEE"/>
                <w:left w:val="none" w:sz="0" w:space="0" w:color="auto"/>
                <w:bottom w:val="none" w:sz="0" w:space="0" w:color="auto"/>
                <w:right w:val="none" w:sz="0" w:space="0" w:color="auto"/>
              </w:pBdr>
              <w:shd w:val="clear" w:color="auto" w:fill="FFFFFF"/>
              <w:spacing w:before="75" w:beforeAutospacing="0" w:after="75" w:afterAutospacing="0" w:line="21" w:lineRule="atLeast"/>
              <w:jc w:val="both"/>
              <w:rPr>
                <w:rFonts w:ascii="Calibri" w:eastAsia="宋体" w:hAnsi="Calibri"/>
                <w:kern w:val="2"/>
                <w:sz w:val="21"/>
                <w:lang w:val="en-US" w:eastAsia="zh-CN" w:bidi="ar-SA"/>
              </w:rPr>
            </w:pPr>
            <w:r>
              <w:pict>
                <v:rect id="_x0000_i1037" style="width:528pt;height:1.5pt" coordsize="21600,21600" o:hralign="center" o:hrstd="t" o:hr="t" filled="t" fillcolor="#a0a0a0" stroked="f">
                  <w10:anchorlock/>
                </v:rect>
              </w:pict>
            </w:r>
          </w:p>
          <w:p>
            <w:pPr>
              <w:keepNext w:val="0"/>
              <w:keepLines w:val="0"/>
              <w:widowControl/>
              <w:suppressLineNumbers w:val="0"/>
              <w:jc w:val="left"/>
              <w:rPr>
                <w:rFonts w:ascii="Calibri" w:eastAsia="宋体" w:hAnsi="Calibri"/>
                <w:kern w:val="2"/>
                <w:sz w:val="21"/>
                <w:lang w:val="en-US" w:eastAsia="zh-CN" w:bidi="ar-SA"/>
              </w:rPr>
            </w:pPr>
            <w:r>
              <w:rPr>
                <w:rFonts w:eastAsia="宋体" w:cs="宋体"/>
                <w:b/>
                <w:bCs/>
                <w:sz w:val="22"/>
                <w:szCs w:val="22"/>
                <w:lang w:val="en-US" w:eastAsia="zh-CN" w:bidi="ar"/>
              </w:rPr>
              <w:t>Module 14. Transport information 14.1 UN number European land transport hazard code: -International Maritime Dangerous Code: -International Air Transport Dangerous Regulations: -14.2 Names prescribed by the United Nations (UN) European Land Transport Dangerous Regulations: International Maritime Dangerous Regulations for Dangerous Goods: Dangerous Regulations for International Air Transport of Dangerous Goods: Non-Dangerous Goods 14.3 Transport Dangerous Categories European Land Transport Dangerous Regulations: -International Maritime Dangerous Code: -International Air Transport Dangerous Code:-14.4 Parcel Group European Land Transport Dangerous Code:-International Maritime Dangerous Code:-14.5 Environmental Dangerous Code European Land Transport Dangerous Code: No International Maritime Dangerous Code Marine Pollutants: No International Air Transport Dangerous Code: No Special Precautions for Users No Data the Company is not liable for any damage caused by any operation or contact with the above products. For more terms of use, please refer to the reverse side of invoice or packing strip.</w:t>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r>
              <w:rPr>
                <w:rFonts w:ascii="宋体" w:eastAsia="宋体" w:hAnsi="宋体" w:cs="宋体"/>
                <w:lang w:val="en-US" w:eastAsia="zh-CN" w:bidi="ar"/>
              </w:rPr>
              <w:br/>
            </w:r>
          </w:p>
        </w:tc>
      </w:tr>
    </w:tbl>
    <w:p>
      <w:pPr>
        <w:widowControl w:val="0"/>
        <w:jc w:val="both"/>
        <w:rPr>
          <w:rFonts w:ascii="Calibri" w:eastAsia="宋体" w:hAnsi="Calibri"/>
          <w:kern w:val="2"/>
          <w:sz w:val="21"/>
          <w:lang w:val="en-US" w:eastAsia="zh-CN" w:bidi="ar-SA"/>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Glyphicons Halflings">
    <w:altName w:val="dearJoe 5 CASUAL"/>
    <w:panose1 w:val="00000000000000000000"/>
    <w:charset w:val="00"/>
    <w:family w:val="auto"/>
    <w:pitch w:val="default"/>
    <w:sig w:usb0="00000000" w:usb1="00000000" w:usb2="00000000" w:usb3="00000000" w:csb0="00000000" w:csb1="00000000"/>
  </w:font>
  <w:font w:name="dearJoe 5 CASUAL">
    <w:panose1 w:val="02000400000000000000"/>
    <w:charset w:val="00"/>
    <w:family w:val="auto"/>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semiHidden/>
    <w:unhideWhenUsed/>
    <w:qFormat/>
    <w:pPr>
      <w:widowControl w:val="0"/>
      <w:spacing w:beforeAutospacing="1" w:afterAutospacing="1"/>
      <w:outlineLvl w:val="1"/>
    </w:pPr>
    <w:rPr>
      <w:rFonts w:ascii="宋体" w:eastAsia="宋体" w:hAnsi="宋体" w:cs="宋体"/>
      <w:b/>
      <w:bCs/>
      <w:sz w:val="36"/>
      <w:szCs w:val="36"/>
      <w:lang w:val="en-US" w:eastAsia="zh-CN" w:bidi="a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widowControl w:val="0"/>
      <w:spacing w:beforeAutospacing="1" w:afterAutospacing="1"/>
    </w:pPr>
    <w:rPr>
      <w:rFonts w:asciiTheme="minorHAnsi" w:eastAsiaTheme="minorEastAsia" w:hAnsiTheme="minorHAnsi" w:cstheme="minorBidi"/>
      <w:lang w:val="en-US" w:eastAsia="zh-CN" w:bidi="ar"/>
    </w:r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hemsrc.com/cas/79815-20-6_905946.html"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TotalTime>0</TotalTime>
  <Pages>11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